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141F0" w14:textId="50E51B81" w:rsidR="00297A15" w:rsidRPr="00B266B0" w:rsidRDefault="00297A15" w:rsidP="00297A1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8F3CCF">
        <w:rPr>
          <w:bCs/>
          <w:noProof w:val="0"/>
          <w:sz w:val="24"/>
          <w:szCs w:val="24"/>
        </w:rPr>
        <w:t>6364</w:t>
      </w:r>
    </w:p>
    <w:p w14:paraId="703B3A53" w14:textId="005D10BD" w:rsidR="00297A15" w:rsidRPr="007352FF" w:rsidRDefault="00297A15" w:rsidP="00297A1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7AA3142C" w14:textId="77777777" w:rsidR="001C7F70" w:rsidRPr="00297A15" w:rsidRDefault="001C7F70" w:rsidP="001C7F70">
      <w:pPr>
        <w:pStyle w:val="Header"/>
        <w:rPr>
          <w:bCs/>
          <w:noProof w:val="0"/>
          <w:sz w:val="24"/>
        </w:rPr>
      </w:pP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F17476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95252" w:rsidRPr="00295252">
        <w:rPr>
          <w:rFonts w:cs="Arial"/>
          <w:b/>
          <w:bCs/>
          <w:sz w:val="24"/>
          <w:lang w:eastAsia="ja-JP"/>
        </w:rPr>
        <w:t>8.10.2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8BD6A2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848B1">
        <w:rPr>
          <w:rFonts w:ascii="Arial" w:hAnsi="Arial" w:cs="Arial"/>
          <w:b/>
          <w:bCs/>
          <w:sz w:val="24"/>
        </w:rPr>
        <w:t>Common FDM/TDM aspects</w:t>
      </w:r>
    </w:p>
    <w:p w14:paraId="25F387E8" w14:textId="7812F3F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890A7D" w:rsidRPr="00890A7D">
        <w:rPr>
          <w:rFonts w:ascii="Arial" w:hAnsi="Arial" w:cs="Arial"/>
          <w:b/>
          <w:bCs/>
          <w:sz w:val="24"/>
        </w:rPr>
        <w:t>NR_IDC_enh</w:t>
      </w:r>
      <w:proofErr w:type="spellEnd"/>
      <w:r w:rsidR="00890A7D" w:rsidRPr="00890A7D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90A7D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47006824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6471BA" w14:textId="5CBE0819" w:rsidR="007E5A10" w:rsidRDefault="00ED2B72" w:rsidP="007E5A10">
      <w:r>
        <w:t xml:space="preserve">In this paper we discuss </w:t>
      </w:r>
      <w:r w:rsidR="007C5363">
        <w:t>some open issues regarding FDM solution as well as common issues between FDM and TDM solutions</w:t>
      </w:r>
      <w:r w:rsidR="007E5A10">
        <w:t>.</w:t>
      </w:r>
    </w:p>
    <w:p w14:paraId="7D484B6E" w14:textId="2C904E1F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80770D">
        <w:t>Problems</w:t>
      </w:r>
    </w:p>
    <w:p w14:paraId="282AC14D" w14:textId="4E0FFF58" w:rsidR="007C5363" w:rsidRDefault="001C0326" w:rsidP="007C5363">
      <w:pPr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highlight w:val="yellow"/>
          <w:lang w:eastAsia="en-GB"/>
        </w:rPr>
        <w:t>Editor</w:t>
      </w:r>
      <w:r>
        <w:rPr>
          <w:rFonts w:ascii="Courier New" w:eastAsia="DengXian" w:hAnsi="Courier New"/>
          <w:sz w:val="16"/>
          <w:highlight w:val="yellow"/>
          <w:lang w:eastAsia="zh-CN"/>
        </w:rPr>
        <w:t>’</w:t>
      </w:r>
      <w:r>
        <w:rPr>
          <w:rFonts w:ascii="Courier New" w:hAnsi="Courier New"/>
          <w:sz w:val="16"/>
          <w:highlight w:val="yellow"/>
          <w:lang w:eastAsia="en-GB"/>
        </w:rPr>
        <w:t xml:space="preserve">s Note: FFS on the values of bandwidth and the meaning of the “whole” bandwidth of the frequency or whether to make </w:t>
      </w:r>
      <w:proofErr w:type="spellStart"/>
      <w:r>
        <w:rPr>
          <w:rFonts w:ascii="Courier New" w:hAnsi="Courier New"/>
          <w:i/>
          <w:iCs/>
          <w:sz w:val="16"/>
          <w:highlight w:val="yellow"/>
          <w:lang w:eastAsia="en-GB"/>
        </w:rPr>
        <w:t>affectedBandwidth</w:t>
      </w:r>
      <w:proofErr w:type="spellEnd"/>
      <w:r>
        <w:rPr>
          <w:rFonts w:ascii="Courier New" w:hAnsi="Courier New"/>
          <w:sz w:val="16"/>
          <w:highlight w:val="yellow"/>
          <w:lang w:eastAsia="en-GB"/>
        </w:rPr>
        <w:t xml:space="preserve"> optional.</w:t>
      </w:r>
    </w:p>
    <w:p w14:paraId="52574526" w14:textId="4E3DDC71" w:rsidR="00A734D1" w:rsidRDefault="001C0326" w:rsidP="00541294">
      <w:pPr>
        <w:rPr>
          <w:lang w:eastAsia="en-GB"/>
        </w:rPr>
      </w:pPr>
      <w:r w:rsidRPr="001C0326">
        <w:rPr>
          <w:lang w:eastAsia="en-GB"/>
        </w:rPr>
        <w:t>Regarding</w:t>
      </w:r>
      <w:r>
        <w:rPr>
          <w:lang w:eastAsia="en-GB"/>
        </w:rPr>
        <w:t xml:space="preserve"> this FFS point we see good motivation to include “whole” as code point in the affectedBandwidht-r18. </w:t>
      </w:r>
      <w:r w:rsidR="00541294">
        <w:rPr>
          <w:lang w:eastAsia="en-GB"/>
        </w:rPr>
        <w:t xml:space="preserve">We need to have method where UE can indicate whole band is affected – It would also prevent the need to be always updating this whenever new BWs are introduced. </w:t>
      </w:r>
      <w:r w:rsidR="00A734D1">
        <w:rPr>
          <w:lang w:eastAsia="en-GB"/>
        </w:rPr>
        <w:t>Additionally t</w:t>
      </w:r>
      <w:r w:rsidR="00541294">
        <w:rPr>
          <w:lang w:eastAsia="en-GB"/>
        </w:rPr>
        <w:t>his reduces the configuration complexity for both the network and the UE.</w:t>
      </w:r>
      <w:r w:rsidR="008B0C71">
        <w:rPr>
          <w:lang w:eastAsia="en-GB"/>
        </w:rPr>
        <w:t xml:space="preserve"> We don’t care whether the name of value is “whole” as long as it is clear that if this is value is configured for the </w:t>
      </w:r>
      <w:proofErr w:type="spellStart"/>
      <w:r w:rsidR="008B0C71">
        <w:rPr>
          <w:i/>
          <w:iCs/>
          <w:lang w:eastAsia="en-GB"/>
        </w:rPr>
        <w:t>candidateServingFreqRangeNR</w:t>
      </w:r>
      <w:proofErr w:type="spellEnd"/>
      <w:r w:rsidR="008B0C71">
        <w:rPr>
          <w:lang w:eastAsia="en-GB"/>
        </w:rPr>
        <w:t xml:space="preserve"> then NW is interested </w:t>
      </w:r>
      <w:r w:rsidR="001B2E04">
        <w:rPr>
          <w:lang w:eastAsia="en-GB"/>
        </w:rPr>
        <w:t>regardless at which point of the band there is interference.</w:t>
      </w:r>
      <w:r w:rsidR="006F73F1">
        <w:rPr>
          <w:lang w:eastAsia="en-GB"/>
        </w:rPr>
        <w:t xml:space="preserve"> </w:t>
      </w:r>
    </w:p>
    <w:p w14:paraId="21B95D74" w14:textId="6E3DB726" w:rsidR="008236C1" w:rsidRDefault="008236C1" w:rsidP="00541294">
      <w:pPr>
        <w:rPr>
          <w:lang w:eastAsia="en-GB"/>
        </w:rPr>
      </w:pPr>
      <w:r>
        <w:rPr>
          <w:b/>
          <w:bCs/>
          <w:lang w:eastAsia="en-GB"/>
        </w:rPr>
        <w:t xml:space="preserve">Proposal 1: </w:t>
      </w:r>
      <w:r>
        <w:rPr>
          <w:lang w:eastAsia="en-GB"/>
        </w:rPr>
        <w:t xml:space="preserve">Keep the “whole” as codepoint in the configuration of </w:t>
      </w:r>
      <w:r w:rsidR="00CC1DBF">
        <w:rPr>
          <w:lang w:eastAsia="en-GB"/>
        </w:rPr>
        <w:t xml:space="preserve">candidate serving frequency range allowing NW to indicate that NW is interested to whole frequency range interference. </w:t>
      </w:r>
    </w:p>
    <w:p w14:paraId="5F6EB07D" w14:textId="4652B1E6" w:rsidR="00CC1DBF" w:rsidRDefault="00CC1DBF" w:rsidP="00541294">
      <w:pPr>
        <w:rPr>
          <w:lang w:eastAsia="en-GB"/>
        </w:rPr>
      </w:pPr>
      <w:r>
        <w:rPr>
          <w:b/>
          <w:bCs/>
          <w:lang w:eastAsia="en-GB"/>
        </w:rPr>
        <w:t xml:space="preserve">Proposal 2: </w:t>
      </w:r>
      <w:r>
        <w:rPr>
          <w:lang w:eastAsia="en-GB"/>
        </w:rPr>
        <w:t>Keep the “whole” as codepoint for UE indicating which part of frequency is affected</w:t>
      </w:r>
    </w:p>
    <w:p w14:paraId="126351B2" w14:textId="6D914B2F" w:rsidR="008B447A" w:rsidRDefault="008B447A" w:rsidP="00541294">
      <w:pPr>
        <w:rPr>
          <w:lang w:eastAsia="en-GB"/>
        </w:rPr>
      </w:pPr>
      <w:r>
        <w:rPr>
          <w:lang w:eastAsia="en-GB"/>
        </w:rPr>
        <w:t xml:space="preserve">There seems to be some discussion also whether we should be able to configure TDM (DRX assistance) </w:t>
      </w:r>
      <w:r w:rsidR="0073551F">
        <w:rPr>
          <w:lang w:eastAsia="en-GB"/>
        </w:rPr>
        <w:t>separately from FDM assistance. In our understanding TDM information would be beneficial also separately</w:t>
      </w:r>
      <w:r w:rsidR="00956792">
        <w:rPr>
          <w:lang w:eastAsia="en-GB"/>
        </w:rPr>
        <w:t xml:space="preserve"> to be indicated </w:t>
      </w:r>
      <w:r w:rsidR="00C0459F">
        <w:rPr>
          <w:lang w:eastAsia="en-GB"/>
        </w:rPr>
        <w:t xml:space="preserve">– Especially as in some scenarios there is no possibility for NW to solve the issue with FDM solution it seems unnecessary to require FDM information always. </w:t>
      </w:r>
    </w:p>
    <w:p w14:paraId="69997902" w14:textId="391C91B4" w:rsidR="00B224FC" w:rsidRDefault="00B224FC" w:rsidP="00541294">
      <w:pPr>
        <w:rPr>
          <w:lang w:eastAsia="en-GB"/>
        </w:rPr>
      </w:pPr>
      <w:r>
        <w:rPr>
          <w:lang w:eastAsia="en-GB"/>
        </w:rPr>
        <w:t xml:space="preserve">Especially this is true in NTN environment where there is no other “band” / frequency where to move the UE and thus only possible solution is actually TDM solution. Thus it would seem unnecessary to always require FDM solution to be configured. </w:t>
      </w:r>
    </w:p>
    <w:p w14:paraId="79A0665D" w14:textId="6900DB77" w:rsidR="001C0326" w:rsidRDefault="0068525C" w:rsidP="00541294">
      <w:pPr>
        <w:rPr>
          <w:lang w:eastAsia="en-GB"/>
        </w:rPr>
      </w:pPr>
      <w:r>
        <w:rPr>
          <w:b/>
          <w:bCs/>
          <w:lang w:eastAsia="en-GB"/>
        </w:rPr>
        <w:t xml:space="preserve">Proposal 3: </w:t>
      </w:r>
      <w:r>
        <w:rPr>
          <w:lang w:eastAsia="en-GB"/>
        </w:rPr>
        <w:t xml:space="preserve">Allow NW to configure TDM only solutions as well as UE to report IDC issues with TDM information only </w:t>
      </w:r>
    </w:p>
    <w:p w14:paraId="221582E8" w14:textId="5ED4FBB2" w:rsidR="00332558" w:rsidRDefault="001C5EEC" w:rsidP="00541294">
      <w:r>
        <w:rPr>
          <w:lang w:eastAsia="en-GB"/>
        </w:rPr>
        <w:t xml:space="preserve">Also we have </w:t>
      </w:r>
      <w:proofErr w:type="spellStart"/>
      <w:r>
        <w:rPr>
          <w:lang w:eastAsia="en-GB"/>
        </w:rPr>
        <w:t>a</w:t>
      </w:r>
      <w:proofErr w:type="spellEnd"/>
      <w:r>
        <w:rPr>
          <w:lang w:eastAsia="en-GB"/>
        </w:rPr>
        <w:t xml:space="preserve"> open issue regarding whether one could report </w:t>
      </w:r>
      <w:proofErr w:type="spellStart"/>
      <w:r>
        <w:rPr>
          <w:i/>
          <w:iCs/>
          <w:lang w:eastAsia="en-GB"/>
        </w:rPr>
        <w:t>victimSystemtype</w:t>
      </w:r>
      <w:proofErr w:type="spellEnd"/>
      <w:r>
        <w:rPr>
          <w:i/>
          <w:iCs/>
          <w:lang w:eastAsia="en-GB"/>
        </w:rPr>
        <w:t>/</w:t>
      </w:r>
      <w:proofErr w:type="spellStart"/>
      <w:r>
        <w:rPr>
          <w:i/>
          <w:iCs/>
          <w:lang w:eastAsia="en-GB"/>
        </w:rPr>
        <w:t>InterferenceDirection</w:t>
      </w:r>
      <w:proofErr w:type="spellEnd"/>
      <w:r>
        <w:t xml:space="preserve"> </w:t>
      </w:r>
      <w:r w:rsidR="00980A21">
        <w:t xml:space="preserve">for both FDM and TDM solutions. </w:t>
      </w:r>
      <w:r w:rsidR="00C30B35">
        <w:t xml:space="preserve">Assuming Proposal 3 is acceptable then also it makes sense to be able to report this information separately for FDM and TDM solutions. </w:t>
      </w:r>
      <w:r w:rsidR="0051223F">
        <w:t xml:space="preserve">It should be noted that in </w:t>
      </w:r>
      <w:r w:rsidR="0051223F" w:rsidRPr="0051223F">
        <w:rPr>
          <w:highlight w:val="yellow"/>
        </w:rPr>
        <w:t>[R2-230</w:t>
      </w:r>
      <w:r w:rsidR="008F3CCF">
        <w:rPr>
          <w:highlight w:val="yellow"/>
        </w:rPr>
        <w:t>636</w:t>
      </w:r>
      <w:r w:rsidR="00F13505">
        <w:rPr>
          <w:highlight w:val="yellow"/>
        </w:rPr>
        <w:t>5</w:t>
      </w:r>
      <w:r w:rsidR="0051223F" w:rsidRPr="0051223F">
        <w:rPr>
          <w:highlight w:val="yellow"/>
        </w:rPr>
        <w:t>]</w:t>
      </w:r>
      <w:r w:rsidR="0051223F">
        <w:t xml:space="preserve"> we also raise the need to include in the </w:t>
      </w:r>
      <w:proofErr w:type="spellStart"/>
      <w:r w:rsidR="0051223F" w:rsidRPr="00D46522">
        <w:rPr>
          <w:i/>
          <w:iCs/>
        </w:rPr>
        <w:t>interferenceDirection</w:t>
      </w:r>
      <w:proofErr w:type="spellEnd"/>
      <w:r w:rsidR="0051223F">
        <w:t xml:space="preserve"> that whether the </w:t>
      </w:r>
      <w:r w:rsidR="00795389">
        <w:t xml:space="preserve">interference is something external or internal in order for NW to understand which kind of solution would actually work to solve the issue – For external </w:t>
      </w:r>
      <w:r w:rsidR="00940FB8">
        <w:t xml:space="preserve">interferences TDM solution is likely not as suitable as FDM solution. </w:t>
      </w:r>
      <w:r w:rsidR="00E47AE9">
        <w:t>‘</w:t>
      </w:r>
    </w:p>
    <w:p w14:paraId="4F818F8F" w14:textId="5907D355" w:rsidR="00E47AE9" w:rsidRPr="006507C4" w:rsidRDefault="00E47AE9" w:rsidP="00541294">
      <w:r>
        <w:rPr>
          <w:b/>
          <w:bCs/>
        </w:rPr>
        <w:t xml:space="preserve">Proposal 4: </w:t>
      </w:r>
      <w:r w:rsidR="008212A0">
        <w:t xml:space="preserve">If Proposal 3 is agreed also include </w:t>
      </w:r>
      <w:proofErr w:type="spellStart"/>
      <w:r w:rsidR="006507C4">
        <w:rPr>
          <w:i/>
          <w:iCs/>
        </w:rPr>
        <w:t>victimSystemType</w:t>
      </w:r>
      <w:proofErr w:type="spellEnd"/>
      <w:r w:rsidR="006507C4">
        <w:rPr>
          <w:i/>
          <w:iCs/>
        </w:rPr>
        <w:t xml:space="preserve"> </w:t>
      </w:r>
      <w:r w:rsidR="006507C4">
        <w:t xml:space="preserve">and </w:t>
      </w:r>
      <w:proofErr w:type="spellStart"/>
      <w:r w:rsidR="006507C4">
        <w:rPr>
          <w:i/>
          <w:iCs/>
        </w:rPr>
        <w:t>InterferenceDirection</w:t>
      </w:r>
      <w:proofErr w:type="spellEnd"/>
      <w:r w:rsidR="006507C4">
        <w:rPr>
          <w:i/>
          <w:iCs/>
        </w:rPr>
        <w:t xml:space="preserve"> </w:t>
      </w:r>
      <w:r w:rsidR="006507C4">
        <w:t>to be allowed to be reported in both TDM/FDM solutions</w:t>
      </w:r>
    </w:p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749AAA15" w14:textId="77777777" w:rsidR="001E2965" w:rsidRDefault="001E2965" w:rsidP="001E2965">
      <w:pPr>
        <w:rPr>
          <w:lang w:eastAsia="en-GB"/>
        </w:rPr>
      </w:pPr>
      <w:r>
        <w:rPr>
          <w:b/>
          <w:bCs/>
          <w:lang w:eastAsia="en-GB"/>
        </w:rPr>
        <w:t xml:space="preserve">Proposal 1: </w:t>
      </w:r>
      <w:r>
        <w:rPr>
          <w:lang w:eastAsia="en-GB"/>
        </w:rPr>
        <w:t xml:space="preserve">Keep the “whole” as codepoint in the configuration of candidate serving frequency range allowing NW to indicate that NW is interested to whole frequency range interference. </w:t>
      </w:r>
    </w:p>
    <w:p w14:paraId="6C7BEB20" w14:textId="77777777" w:rsidR="001E2965" w:rsidRDefault="001E2965" w:rsidP="001E2965">
      <w:pPr>
        <w:rPr>
          <w:lang w:eastAsia="en-GB"/>
        </w:rPr>
      </w:pPr>
      <w:r>
        <w:rPr>
          <w:b/>
          <w:bCs/>
          <w:lang w:eastAsia="en-GB"/>
        </w:rPr>
        <w:t xml:space="preserve">Proposal 2: </w:t>
      </w:r>
      <w:r>
        <w:rPr>
          <w:lang w:eastAsia="en-GB"/>
        </w:rPr>
        <w:t>Keep the “whole” as codepoint for UE indicating which part of frequency is affected</w:t>
      </w:r>
    </w:p>
    <w:p w14:paraId="51AD3D71" w14:textId="77777777" w:rsidR="001E2965" w:rsidRDefault="001E2965" w:rsidP="001E2965">
      <w:pPr>
        <w:rPr>
          <w:lang w:eastAsia="en-GB"/>
        </w:rPr>
      </w:pPr>
      <w:r>
        <w:rPr>
          <w:b/>
          <w:bCs/>
          <w:lang w:eastAsia="en-GB"/>
        </w:rPr>
        <w:t xml:space="preserve">Proposal 3: </w:t>
      </w:r>
      <w:r>
        <w:rPr>
          <w:lang w:eastAsia="en-GB"/>
        </w:rPr>
        <w:t xml:space="preserve">Allow NW to configure TDM only solutions as well as UE to report IDC issues with TDM information only </w:t>
      </w:r>
    </w:p>
    <w:p w14:paraId="6D98A8A6" w14:textId="77777777" w:rsidR="001E2965" w:rsidRPr="006507C4" w:rsidRDefault="001E2965" w:rsidP="001E2965">
      <w:r>
        <w:rPr>
          <w:b/>
          <w:bCs/>
        </w:rPr>
        <w:t xml:space="preserve">Proposal 4: </w:t>
      </w:r>
      <w:r>
        <w:t xml:space="preserve">If Proposal 3 is agreed also include </w:t>
      </w:r>
      <w:proofErr w:type="spellStart"/>
      <w:r>
        <w:rPr>
          <w:i/>
          <w:iCs/>
        </w:rPr>
        <w:t>victimSystemType</w:t>
      </w:r>
      <w:proofErr w:type="spellEnd"/>
      <w:r>
        <w:rPr>
          <w:i/>
          <w:iCs/>
        </w:rPr>
        <w:t xml:space="preserve"> </w:t>
      </w:r>
      <w:r>
        <w:t xml:space="preserve">and </w:t>
      </w:r>
      <w:proofErr w:type="spellStart"/>
      <w:r>
        <w:rPr>
          <w:i/>
          <w:iCs/>
        </w:rPr>
        <w:t>InterferenceDirection</w:t>
      </w:r>
      <w:proofErr w:type="spellEnd"/>
      <w:r>
        <w:rPr>
          <w:i/>
          <w:iCs/>
        </w:rPr>
        <w:t xml:space="preserve"> </w:t>
      </w:r>
      <w:r>
        <w:t>to be allowed to be reported in both TDM/FDM solutions</w:t>
      </w:r>
    </w:p>
    <w:p w14:paraId="35F222F4" w14:textId="19EEAE1F" w:rsidR="00080512" w:rsidRPr="00A209D6" w:rsidRDefault="00080512" w:rsidP="001E2965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21A04" w14:textId="77777777" w:rsidR="00124046" w:rsidRDefault="00124046">
      <w:r>
        <w:separator/>
      </w:r>
    </w:p>
  </w:endnote>
  <w:endnote w:type="continuationSeparator" w:id="0">
    <w:p w14:paraId="4AE31CD1" w14:textId="77777777" w:rsidR="00124046" w:rsidRDefault="00124046">
      <w:r>
        <w:continuationSeparator/>
      </w:r>
    </w:p>
  </w:endnote>
  <w:endnote w:type="continuationNotice" w:id="1">
    <w:p w14:paraId="644CEF1B" w14:textId="77777777" w:rsidR="00124046" w:rsidRDefault="00124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7072" w14:textId="77777777" w:rsidR="00124046" w:rsidRDefault="00124046">
      <w:r>
        <w:separator/>
      </w:r>
    </w:p>
  </w:footnote>
  <w:footnote w:type="continuationSeparator" w:id="0">
    <w:p w14:paraId="1C63017A" w14:textId="77777777" w:rsidR="00124046" w:rsidRDefault="00124046">
      <w:r>
        <w:continuationSeparator/>
      </w:r>
    </w:p>
  </w:footnote>
  <w:footnote w:type="continuationNotice" w:id="1">
    <w:p w14:paraId="2F49DA3B" w14:textId="77777777" w:rsidR="00124046" w:rsidRDefault="001240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01490F"/>
    <w:multiLevelType w:val="hybridMultilevel"/>
    <w:tmpl w:val="2850122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3B4056F"/>
    <w:multiLevelType w:val="hybridMultilevel"/>
    <w:tmpl w:val="35742FA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3B30E39"/>
    <w:multiLevelType w:val="hybridMultilevel"/>
    <w:tmpl w:val="9C80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C09F0"/>
    <w:multiLevelType w:val="hybridMultilevel"/>
    <w:tmpl w:val="A7CA6D5A"/>
    <w:lvl w:ilvl="0" w:tplc="E1EA4DB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5779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8554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6299273">
    <w:abstractNumId w:val="2"/>
  </w:num>
  <w:num w:numId="4" w16cid:durableId="1129788738">
    <w:abstractNumId w:val="5"/>
  </w:num>
  <w:num w:numId="5" w16cid:durableId="2126607225">
    <w:abstractNumId w:val="4"/>
  </w:num>
  <w:num w:numId="6" w16cid:durableId="646739081">
    <w:abstractNumId w:val="7"/>
  </w:num>
  <w:num w:numId="7" w16cid:durableId="341663340">
    <w:abstractNumId w:val="8"/>
  </w:num>
  <w:num w:numId="8" w16cid:durableId="1839417866">
    <w:abstractNumId w:val="9"/>
  </w:num>
  <w:num w:numId="9" w16cid:durableId="1989087157">
    <w:abstractNumId w:val="1"/>
  </w:num>
  <w:num w:numId="10" w16cid:durableId="1370452407">
    <w:abstractNumId w:val="6"/>
  </w:num>
  <w:num w:numId="11" w16cid:durableId="1581794080">
    <w:abstractNumId w:val="10"/>
  </w:num>
  <w:num w:numId="12" w16cid:durableId="18194166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355"/>
    <w:rsid w:val="00016557"/>
    <w:rsid w:val="00023C40"/>
    <w:rsid w:val="00033182"/>
    <w:rsid w:val="00033397"/>
    <w:rsid w:val="00037C72"/>
    <w:rsid w:val="00040095"/>
    <w:rsid w:val="000470AC"/>
    <w:rsid w:val="0005541F"/>
    <w:rsid w:val="00065268"/>
    <w:rsid w:val="00065B0D"/>
    <w:rsid w:val="00073C9C"/>
    <w:rsid w:val="00074DD4"/>
    <w:rsid w:val="00076412"/>
    <w:rsid w:val="00077905"/>
    <w:rsid w:val="0008039C"/>
    <w:rsid w:val="00080512"/>
    <w:rsid w:val="00090468"/>
    <w:rsid w:val="00092E52"/>
    <w:rsid w:val="00094568"/>
    <w:rsid w:val="00094AC5"/>
    <w:rsid w:val="000A4161"/>
    <w:rsid w:val="000A68FF"/>
    <w:rsid w:val="000B0651"/>
    <w:rsid w:val="000B0923"/>
    <w:rsid w:val="000B1DCC"/>
    <w:rsid w:val="000B61ED"/>
    <w:rsid w:val="000B75E1"/>
    <w:rsid w:val="000B7BCF"/>
    <w:rsid w:val="000C522B"/>
    <w:rsid w:val="000C5C53"/>
    <w:rsid w:val="000D58AB"/>
    <w:rsid w:val="000E2177"/>
    <w:rsid w:val="000F6E70"/>
    <w:rsid w:val="00100CFD"/>
    <w:rsid w:val="00112F1A"/>
    <w:rsid w:val="00120529"/>
    <w:rsid w:val="00124046"/>
    <w:rsid w:val="00130DF3"/>
    <w:rsid w:val="0013659A"/>
    <w:rsid w:val="00145075"/>
    <w:rsid w:val="00156F6E"/>
    <w:rsid w:val="0016133B"/>
    <w:rsid w:val="00162A0B"/>
    <w:rsid w:val="001741A0"/>
    <w:rsid w:val="00175FA0"/>
    <w:rsid w:val="0017746E"/>
    <w:rsid w:val="00184E26"/>
    <w:rsid w:val="00187252"/>
    <w:rsid w:val="00187DBE"/>
    <w:rsid w:val="00194CD0"/>
    <w:rsid w:val="001A1763"/>
    <w:rsid w:val="001B2E04"/>
    <w:rsid w:val="001B49C9"/>
    <w:rsid w:val="001C0326"/>
    <w:rsid w:val="001C23F4"/>
    <w:rsid w:val="001C4F79"/>
    <w:rsid w:val="001C5EEC"/>
    <w:rsid w:val="001C7F70"/>
    <w:rsid w:val="001D27DC"/>
    <w:rsid w:val="001D6BF0"/>
    <w:rsid w:val="001D6EBA"/>
    <w:rsid w:val="001E2965"/>
    <w:rsid w:val="001F168B"/>
    <w:rsid w:val="001F2A5E"/>
    <w:rsid w:val="001F5EAE"/>
    <w:rsid w:val="001F7831"/>
    <w:rsid w:val="002003C4"/>
    <w:rsid w:val="00204045"/>
    <w:rsid w:val="0020712B"/>
    <w:rsid w:val="002118D7"/>
    <w:rsid w:val="00212F85"/>
    <w:rsid w:val="0022606D"/>
    <w:rsid w:val="0022677A"/>
    <w:rsid w:val="00231728"/>
    <w:rsid w:val="00233AB5"/>
    <w:rsid w:val="00240689"/>
    <w:rsid w:val="00242A40"/>
    <w:rsid w:val="00244A05"/>
    <w:rsid w:val="00250404"/>
    <w:rsid w:val="002508EC"/>
    <w:rsid w:val="00255B86"/>
    <w:rsid w:val="00256B74"/>
    <w:rsid w:val="002610D8"/>
    <w:rsid w:val="00262D49"/>
    <w:rsid w:val="00263035"/>
    <w:rsid w:val="00272AF5"/>
    <w:rsid w:val="002744A3"/>
    <w:rsid w:val="002747EC"/>
    <w:rsid w:val="00282AE6"/>
    <w:rsid w:val="00282D22"/>
    <w:rsid w:val="00283DF8"/>
    <w:rsid w:val="002855BF"/>
    <w:rsid w:val="0029404C"/>
    <w:rsid w:val="00294866"/>
    <w:rsid w:val="00295252"/>
    <w:rsid w:val="00297A15"/>
    <w:rsid w:val="002A18A5"/>
    <w:rsid w:val="002A2DB0"/>
    <w:rsid w:val="002A49E8"/>
    <w:rsid w:val="002B2988"/>
    <w:rsid w:val="002C1C32"/>
    <w:rsid w:val="002D1F01"/>
    <w:rsid w:val="002D2BB7"/>
    <w:rsid w:val="002E1C88"/>
    <w:rsid w:val="002E3279"/>
    <w:rsid w:val="002E63DF"/>
    <w:rsid w:val="002E67DE"/>
    <w:rsid w:val="002E7C99"/>
    <w:rsid w:val="002F0D22"/>
    <w:rsid w:val="002F28AC"/>
    <w:rsid w:val="002F52B7"/>
    <w:rsid w:val="0030696A"/>
    <w:rsid w:val="00311B17"/>
    <w:rsid w:val="00315E1A"/>
    <w:rsid w:val="003172DC"/>
    <w:rsid w:val="00322698"/>
    <w:rsid w:val="00325AE3"/>
    <w:rsid w:val="00326069"/>
    <w:rsid w:val="00332558"/>
    <w:rsid w:val="003348F3"/>
    <w:rsid w:val="003349A5"/>
    <w:rsid w:val="00337CE9"/>
    <w:rsid w:val="00340370"/>
    <w:rsid w:val="003462E3"/>
    <w:rsid w:val="00353013"/>
    <w:rsid w:val="0035462D"/>
    <w:rsid w:val="00363818"/>
    <w:rsid w:val="0036459E"/>
    <w:rsid w:val="00364B41"/>
    <w:rsid w:val="003662A4"/>
    <w:rsid w:val="00367F8E"/>
    <w:rsid w:val="00374022"/>
    <w:rsid w:val="0037703F"/>
    <w:rsid w:val="0038196C"/>
    <w:rsid w:val="00383096"/>
    <w:rsid w:val="0039346C"/>
    <w:rsid w:val="00397A40"/>
    <w:rsid w:val="003A1440"/>
    <w:rsid w:val="003A2931"/>
    <w:rsid w:val="003A32B4"/>
    <w:rsid w:val="003A41EF"/>
    <w:rsid w:val="003B128F"/>
    <w:rsid w:val="003B40AD"/>
    <w:rsid w:val="003B5158"/>
    <w:rsid w:val="003B75F5"/>
    <w:rsid w:val="003C06D4"/>
    <w:rsid w:val="003C0F73"/>
    <w:rsid w:val="003C4E37"/>
    <w:rsid w:val="003D09BE"/>
    <w:rsid w:val="003D6DFB"/>
    <w:rsid w:val="003E16BE"/>
    <w:rsid w:val="003E1912"/>
    <w:rsid w:val="003E1FE2"/>
    <w:rsid w:val="003E2310"/>
    <w:rsid w:val="003E4537"/>
    <w:rsid w:val="003E47FA"/>
    <w:rsid w:val="003F4E28"/>
    <w:rsid w:val="004006E8"/>
    <w:rsid w:val="00401855"/>
    <w:rsid w:val="00402D30"/>
    <w:rsid w:val="004151AE"/>
    <w:rsid w:val="0042014A"/>
    <w:rsid w:val="00420C83"/>
    <w:rsid w:val="00423DA3"/>
    <w:rsid w:val="00432765"/>
    <w:rsid w:val="0043391B"/>
    <w:rsid w:val="0043674B"/>
    <w:rsid w:val="00440F99"/>
    <w:rsid w:val="0044326A"/>
    <w:rsid w:val="00446C3A"/>
    <w:rsid w:val="00461D99"/>
    <w:rsid w:val="00465587"/>
    <w:rsid w:val="00473636"/>
    <w:rsid w:val="00475730"/>
    <w:rsid w:val="00477455"/>
    <w:rsid w:val="00477921"/>
    <w:rsid w:val="00484D37"/>
    <w:rsid w:val="00490AF4"/>
    <w:rsid w:val="004A0A39"/>
    <w:rsid w:val="004A1F7B"/>
    <w:rsid w:val="004A30DB"/>
    <w:rsid w:val="004A350D"/>
    <w:rsid w:val="004A795F"/>
    <w:rsid w:val="004B1A8D"/>
    <w:rsid w:val="004B37B6"/>
    <w:rsid w:val="004B4B71"/>
    <w:rsid w:val="004B7319"/>
    <w:rsid w:val="004C1EBA"/>
    <w:rsid w:val="004C27DC"/>
    <w:rsid w:val="004C3807"/>
    <w:rsid w:val="004C44D2"/>
    <w:rsid w:val="004C7A60"/>
    <w:rsid w:val="004D2831"/>
    <w:rsid w:val="004D3578"/>
    <w:rsid w:val="004D380D"/>
    <w:rsid w:val="004E1872"/>
    <w:rsid w:val="004E213A"/>
    <w:rsid w:val="004E3612"/>
    <w:rsid w:val="004E66F1"/>
    <w:rsid w:val="004E6F5D"/>
    <w:rsid w:val="004F4540"/>
    <w:rsid w:val="004F73A7"/>
    <w:rsid w:val="00503171"/>
    <w:rsid w:val="00506C28"/>
    <w:rsid w:val="00506E71"/>
    <w:rsid w:val="0050728C"/>
    <w:rsid w:val="0051223F"/>
    <w:rsid w:val="0051558A"/>
    <w:rsid w:val="005165A0"/>
    <w:rsid w:val="00534DA0"/>
    <w:rsid w:val="00535A54"/>
    <w:rsid w:val="00536D78"/>
    <w:rsid w:val="00536E83"/>
    <w:rsid w:val="00541294"/>
    <w:rsid w:val="00543E6C"/>
    <w:rsid w:val="0054464D"/>
    <w:rsid w:val="00547C2C"/>
    <w:rsid w:val="00555030"/>
    <w:rsid w:val="00565087"/>
    <w:rsid w:val="0056573F"/>
    <w:rsid w:val="00567EB6"/>
    <w:rsid w:val="005701B7"/>
    <w:rsid w:val="00571279"/>
    <w:rsid w:val="00572E9F"/>
    <w:rsid w:val="00580406"/>
    <w:rsid w:val="00585F29"/>
    <w:rsid w:val="005930C4"/>
    <w:rsid w:val="0059533A"/>
    <w:rsid w:val="005A13AB"/>
    <w:rsid w:val="005A49C6"/>
    <w:rsid w:val="005A5389"/>
    <w:rsid w:val="005B2172"/>
    <w:rsid w:val="005B359D"/>
    <w:rsid w:val="005B3E0F"/>
    <w:rsid w:val="005C766E"/>
    <w:rsid w:val="005C7CD5"/>
    <w:rsid w:val="005E14B2"/>
    <w:rsid w:val="005E222C"/>
    <w:rsid w:val="005E295D"/>
    <w:rsid w:val="005E668A"/>
    <w:rsid w:val="005E718D"/>
    <w:rsid w:val="005F3A4B"/>
    <w:rsid w:val="005F644A"/>
    <w:rsid w:val="0060193D"/>
    <w:rsid w:val="00603060"/>
    <w:rsid w:val="00611566"/>
    <w:rsid w:val="006249BD"/>
    <w:rsid w:val="00626DF1"/>
    <w:rsid w:val="006310F4"/>
    <w:rsid w:val="0063630C"/>
    <w:rsid w:val="0063766B"/>
    <w:rsid w:val="0064576D"/>
    <w:rsid w:val="00646246"/>
    <w:rsid w:val="006466DF"/>
    <w:rsid w:val="00646D99"/>
    <w:rsid w:val="006507C4"/>
    <w:rsid w:val="006516D8"/>
    <w:rsid w:val="00653AC9"/>
    <w:rsid w:val="00656910"/>
    <w:rsid w:val="006574C0"/>
    <w:rsid w:val="00664375"/>
    <w:rsid w:val="0068525C"/>
    <w:rsid w:val="00691888"/>
    <w:rsid w:val="00691D38"/>
    <w:rsid w:val="00696821"/>
    <w:rsid w:val="006A6EB9"/>
    <w:rsid w:val="006B240A"/>
    <w:rsid w:val="006C1356"/>
    <w:rsid w:val="006C66D8"/>
    <w:rsid w:val="006C724D"/>
    <w:rsid w:val="006C780F"/>
    <w:rsid w:val="006D02D2"/>
    <w:rsid w:val="006D1E24"/>
    <w:rsid w:val="006D35DE"/>
    <w:rsid w:val="006E1057"/>
    <w:rsid w:val="006E1417"/>
    <w:rsid w:val="006E4D76"/>
    <w:rsid w:val="006E763E"/>
    <w:rsid w:val="006F0BBE"/>
    <w:rsid w:val="006F63BA"/>
    <w:rsid w:val="006F6A2C"/>
    <w:rsid w:val="006F73F1"/>
    <w:rsid w:val="00704DE7"/>
    <w:rsid w:val="007069DC"/>
    <w:rsid w:val="00710201"/>
    <w:rsid w:val="007139BC"/>
    <w:rsid w:val="007165E8"/>
    <w:rsid w:val="0072073A"/>
    <w:rsid w:val="00724BD5"/>
    <w:rsid w:val="00725EE0"/>
    <w:rsid w:val="007266E7"/>
    <w:rsid w:val="00733CA2"/>
    <w:rsid w:val="007342B5"/>
    <w:rsid w:val="00734A5B"/>
    <w:rsid w:val="0073551F"/>
    <w:rsid w:val="00743C6E"/>
    <w:rsid w:val="00744E76"/>
    <w:rsid w:val="007474B9"/>
    <w:rsid w:val="00753E2B"/>
    <w:rsid w:val="00755453"/>
    <w:rsid w:val="00757D40"/>
    <w:rsid w:val="00764106"/>
    <w:rsid w:val="007662B5"/>
    <w:rsid w:val="007669CA"/>
    <w:rsid w:val="00770895"/>
    <w:rsid w:val="00781F0F"/>
    <w:rsid w:val="0078727C"/>
    <w:rsid w:val="0079049D"/>
    <w:rsid w:val="00793DC5"/>
    <w:rsid w:val="00795389"/>
    <w:rsid w:val="00796823"/>
    <w:rsid w:val="007A2E55"/>
    <w:rsid w:val="007B03FA"/>
    <w:rsid w:val="007B18D8"/>
    <w:rsid w:val="007B692D"/>
    <w:rsid w:val="007B6E1B"/>
    <w:rsid w:val="007C095F"/>
    <w:rsid w:val="007C2DD0"/>
    <w:rsid w:val="007C3BB9"/>
    <w:rsid w:val="007C5363"/>
    <w:rsid w:val="007D09F9"/>
    <w:rsid w:val="007D22E1"/>
    <w:rsid w:val="007E5A10"/>
    <w:rsid w:val="007F2E08"/>
    <w:rsid w:val="008024FA"/>
    <w:rsid w:val="008028A4"/>
    <w:rsid w:val="0080770D"/>
    <w:rsid w:val="00813245"/>
    <w:rsid w:val="0081379B"/>
    <w:rsid w:val="008165A2"/>
    <w:rsid w:val="008212A0"/>
    <w:rsid w:val="008236C1"/>
    <w:rsid w:val="00830654"/>
    <w:rsid w:val="008324A1"/>
    <w:rsid w:val="008361BA"/>
    <w:rsid w:val="00840DE0"/>
    <w:rsid w:val="00847CD0"/>
    <w:rsid w:val="0085748E"/>
    <w:rsid w:val="008607A8"/>
    <w:rsid w:val="0086354A"/>
    <w:rsid w:val="00871CC4"/>
    <w:rsid w:val="00872ABF"/>
    <w:rsid w:val="00875F8B"/>
    <w:rsid w:val="008768CA"/>
    <w:rsid w:val="00877719"/>
    <w:rsid w:val="00877EF9"/>
    <w:rsid w:val="00880559"/>
    <w:rsid w:val="00882A2D"/>
    <w:rsid w:val="008848B1"/>
    <w:rsid w:val="00890A7D"/>
    <w:rsid w:val="008929E2"/>
    <w:rsid w:val="008A25EC"/>
    <w:rsid w:val="008B0C71"/>
    <w:rsid w:val="008B2C63"/>
    <w:rsid w:val="008B447A"/>
    <w:rsid w:val="008B5306"/>
    <w:rsid w:val="008B6A13"/>
    <w:rsid w:val="008C2998"/>
    <w:rsid w:val="008C2E2A"/>
    <w:rsid w:val="008C3057"/>
    <w:rsid w:val="008C3E64"/>
    <w:rsid w:val="008C5146"/>
    <w:rsid w:val="008D2E4D"/>
    <w:rsid w:val="008D3EEC"/>
    <w:rsid w:val="008D5584"/>
    <w:rsid w:val="008E31F0"/>
    <w:rsid w:val="008E439F"/>
    <w:rsid w:val="008E4BBD"/>
    <w:rsid w:val="008E5764"/>
    <w:rsid w:val="008F396F"/>
    <w:rsid w:val="008F3CCF"/>
    <w:rsid w:val="008F3DCD"/>
    <w:rsid w:val="008F61D4"/>
    <w:rsid w:val="00901BAB"/>
    <w:rsid w:val="0090271F"/>
    <w:rsid w:val="00902A6E"/>
    <w:rsid w:val="00902DB9"/>
    <w:rsid w:val="0090466A"/>
    <w:rsid w:val="00911E30"/>
    <w:rsid w:val="00912354"/>
    <w:rsid w:val="00913CA7"/>
    <w:rsid w:val="00923655"/>
    <w:rsid w:val="009259EF"/>
    <w:rsid w:val="00927ACB"/>
    <w:rsid w:val="00930102"/>
    <w:rsid w:val="00932A5C"/>
    <w:rsid w:val="009339CB"/>
    <w:rsid w:val="00935619"/>
    <w:rsid w:val="00936071"/>
    <w:rsid w:val="009376CD"/>
    <w:rsid w:val="009379E5"/>
    <w:rsid w:val="00940212"/>
    <w:rsid w:val="00940FB8"/>
    <w:rsid w:val="00941A34"/>
    <w:rsid w:val="00942EC2"/>
    <w:rsid w:val="009446F2"/>
    <w:rsid w:val="00950BCC"/>
    <w:rsid w:val="009545D4"/>
    <w:rsid w:val="00954E2C"/>
    <w:rsid w:val="00956792"/>
    <w:rsid w:val="00961B32"/>
    <w:rsid w:val="00962509"/>
    <w:rsid w:val="0096289E"/>
    <w:rsid w:val="00963FE5"/>
    <w:rsid w:val="009678BA"/>
    <w:rsid w:val="00970DB3"/>
    <w:rsid w:val="00974BB0"/>
    <w:rsid w:val="00975BCD"/>
    <w:rsid w:val="00980A21"/>
    <w:rsid w:val="009832C0"/>
    <w:rsid w:val="009923E9"/>
    <w:rsid w:val="009928A9"/>
    <w:rsid w:val="009A0AF3"/>
    <w:rsid w:val="009A0E1D"/>
    <w:rsid w:val="009B07CD"/>
    <w:rsid w:val="009C19E9"/>
    <w:rsid w:val="009C26CA"/>
    <w:rsid w:val="009C5E0B"/>
    <w:rsid w:val="009D1FBF"/>
    <w:rsid w:val="009D70D1"/>
    <w:rsid w:val="009D74A6"/>
    <w:rsid w:val="009E0E87"/>
    <w:rsid w:val="00A0313E"/>
    <w:rsid w:val="00A0386D"/>
    <w:rsid w:val="00A04FE0"/>
    <w:rsid w:val="00A10F02"/>
    <w:rsid w:val="00A13F4C"/>
    <w:rsid w:val="00A154DC"/>
    <w:rsid w:val="00A17E2C"/>
    <w:rsid w:val="00A204CA"/>
    <w:rsid w:val="00A209D6"/>
    <w:rsid w:val="00A22738"/>
    <w:rsid w:val="00A23154"/>
    <w:rsid w:val="00A27E30"/>
    <w:rsid w:val="00A32ABD"/>
    <w:rsid w:val="00A36D9E"/>
    <w:rsid w:val="00A36F5F"/>
    <w:rsid w:val="00A37006"/>
    <w:rsid w:val="00A430D9"/>
    <w:rsid w:val="00A430EC"/>
    <w:rsid w:val="00A463A9"/>
    <w:rsid w:val="00A508F3"/>
    <w:rsid w:val="00A51618"/>
    <w:rsid w:val="00A53724"/>
    <w:rsid w:val="00A54B2B"/>
    <w:rsid w:val="00A621D1"/>
    <w:rsid w:val="00A661EB"/>
    <w:rsid w:val="00A703B6"/>
    <w:rsid w:val="00A72941"/>
    <w:rsid w:val="00A734D1"/>
    <w:rsid w:val="00A754A3"/>
    <w:rsid w:val="00A75514"/>
    <w:rsid w:val="00A82346"/>
    <w:rsid w:val="00A84D62"/>
    <w:rsid w:val="00A9214D"/>
    <w:rsid w:val="00A93DD1"/>
    <w:rsid w:val="00A9671C"/>
    <w:rsid w:val="00AA1553"/>
    <w:rsid w:val="00AA1A7E"/>
    <w:rsid w:val="00AA672B"/>
    <w:rsid w:val="00AE73BD"/>
    <w:rsid w:val="00AF2158"/>
    <w:rsid w:val="00AF4406"/>
    <w:rsid w:val="00AF4641"/>
    <w:rsid w:val="00AF6118"/>
    <w:rsid w:val="00B00490"/>
    <w:rsid w:val="00B01037"/>
    <w:rsid w:val="00B03BE6"/>
    <w:rsid w:val="00B050C0"/>
    <w:rsid w:val="00B05380"/>
    <w:rsid w:val="00B05962"/>
    <w:rsid w:val="00B1039A"/>
    <w:rsid w:val="00B14629"/>
    <w:rsid w:val="00B15449"/>
    <w:rsid w:val="00B15828"/>
    <w:rsid w:val="00B16C2F"/>
    <w:rsid w:val="00B20262"/>
    <w:rsid w:val="00B203D6"/>
    <w:rsid w:val="00B224FC"/>
    <w:rsid w:val="00B23CE0"/>
    <w:rsid w:val="00B27303"/>
    <w:rsid w:val="00B3006F"/>
    <w:rsid w:val="00B41985"/>
    <w:rsid w:val="00B42F6B"/>
    <w:rsid w:val="00B455B7"/>
    <w:rsid w:val="00B46ADE"/>
    <w:rsid w:val="00B47FD1"/>
    <w:rsid w:val="00B50288"/>
    <w:rsid w:val="00B50385"/>
    <w:rsid w:val="00B506D0"/>
    <w:rsid w:val="00B516BB"/>
    <w:rsid w:val="00B55818"/>
    <w:rsid w:val="00B64E89"/>
    <w:rsid w:val="00B72D24"/>
    <w:rsid w:val="00B7538C"/>
    <w:rsid w:val="00B77300"/>
    <w:rsid w:val="00B84043"/>
    <w:rsid w:val="00B84DB2"/>
    <w:rsid w:val="00B94E6B"/>
    <w:rsid w:val="00B97144"/>
    <w:rsid w:val="00BA1654"/>
    <w:rsid w:val="00BA195A"/>
    <w:rsid w:val="00BC0D5E"/>
    <w:rsid w:val="00BC3555"/>
    <w:rsid w:val="00BC544C"/>
    <w:rsid w:val="00BD472A"/>
    <w:rsid w:val="00BD5A75"/>
    <w:rsid w:val="00BD5F81"/>
    <w:rsid w:val="00BD722D"/>
    <w:rsid w:val="00BE14D4"/>
    <w:rsid w:val="00BE765F"/>
    <w:rsid w:val="00BF1B37"/>
    <w:rsid w:val="00C0061F"/>
    <w:rsid w:val="00C00816"/>
    <w:rsid w:val="00C0459F"/>
    <w:rsid w:val="00C05A3F"/>
    <w:rsid w:val="00C11573"/>
    <w:rsid w:val="00C12A24"/>
    <w:rsid w:val="00C12B51"/>
    <w:rsid w:val="00C1375D"/>
    <w:rsid w:val="00C143A2"/>
    <w:rsid w:val="00C24650"/>
    <w:rsid w:val="00C25465"/>
    <w:rsid w:val="00C26B9F"/>
    <w:rsid w:val="00C30B35"/>
    <w:rsid w:val="00C33079"/>
    <w:rsid w:val="00C35590"/>
    <w:rsid w:val="00C42A96"/>
    <w:rsid w:val="00C5112D"/>
    <w:rsid w:val="00C55A12"/>
    <w:rsid w:val="00C602AF"/>
    <w:rsid w:val="00C6553E"/>
    <w:rsid w:val="00C71DF1"/>
    <w:rsid w:val="00C72B86"/>
    <w:rsid w:val="00C750BA"/>
    <w:rsid w:val="00C8092E"/>
    <w:rsid w:val="00C83A13"/>
    <w:rsid w:val="00C8683B"/>
    <w:rsid w:val="00C86F10"/>
    <w:rsid w:val="00C9004B"/>
    <w:rsid w:val="00C9068C"/>
    <w:rsid w:val="00C92967"/>
    <w:rsid w:val="00CA3D0C"/>
    <w:rsid w:val="00CA654B"/>
    <w:rsid w:val="00CA6573"/>
    <w:rsid w:val="00CB72B8"/>
    <w:rsid w:val="00CC18E5"/>
    <w:rsid w:val="00CC1DBF"/>
    <w:rsid w:val="00CD0BA8"/>
    <w:rsid w:val="00CD25D7"/>
    <w:rsid w:val="00CD442F"/>
    <w:rsid w:val="00CD4C7B"/>
    <w:rsid w:val="00CD58FE"/>
    <w:rsid w:val="00D1228A"/>
    <w:rsid w:val="00D14F87"/>
    <w:rsid w:val="00D16A53"/>
    <w:rsid w:val="00D33BE3"/>
    <w:rsid w:val="00D362EA"/>
    <w:rsid w:val="00D3792D"/>
    <w:rsid w:val="00D45EC7"/>
    <w:rsid w:val="00D46522"/>
    <w:rsid w:val="00D46879"/>
    <w:rsid w:val="00D51546"/>
    <w:rsid w:val="00D523ED"/>
    <w:rsid w:val="00D5519F"/>
    <w:rsid w:val="00D55E47"/>
    <w:rsid w:val="00D61E9C"/>
    <w:rsid w:val="00D62E19"/>
    <w:rsid w:val="00D67ADD"/>
    <w:rsid w:val="00D67CD1"/>
    <w:rsid w:val="00D738D6"/>
    <w:rsid w:val="00D76D85"/>
    <w:rsid w:val="00D773AE"/>
    <w:rsid w:val="00D80795"/>
    <w:rsid w:val="00D854BE"/>
    <w:rsid w:val="00D87E00"/>
    <w:rsid w:val="00D9134D"/>
    <w:rsid w:val="00D91BEA"/>
    <w:rsid w:val="00D96D11"/>
    <w:rsid w:val="00DA1F71"/>
    <w:rsid w:val="00DA2599"/>
    <w:rsid w:val="00DA6647"/>
    <w:rsid w:val="00DA7A03"/>
    <w:rsid w:val="00DB0DB8"/>
    <w:rsid w:val="00DB1818"/>
    <w:rsid w:val="00DB3B88"/>
    <w:rsid w:val="00DC2EBD"/>
    <w:rsid w:val="00DC309B"/>
    <w:rsid w:val="00DC4DA2"/>
    <w:rsid w:val="00DC5261"/>
    <w:rsid w:val="00DC54C6"/>
    <w:rsid w:val="00DC73DD"/>
    <w:rsid w:val="00DC7D3E"/>
    <w:rsid w:val="00DD0170"/>
    <w:rsid w:val="00DD384B"/>
    <w:rsid w:val="00DD6E77"/>
    <w:rsid w:val="00DD7034"/>
    <w:rsid w:val="00DE076D"/>
    <w:rsid w:val="00DE25D2"/>
    <w:rsid w:val="00DF7C20"/>
    <w:rsid w:val="00E115A3"/>
    <w:rsid w:val="00E12028"/>
    <w:rsid w:val="00E130C3"/>
    <w:rsid w:val="00E17D40"/>
    <w:rsid w:val="00E3466F"/>
    <w:rsid w:val="00E40797"/>
    <w:rsid w:val="00E4623C"/>
    <w:rsid w:val="00E46C08"/>
    <w:rsid w:val="00E471CF"/>
    <w:rsid w:val="00E47AE9"/>
    <w:rsid w:val="00E5484C"/>
    <w:rsid w:val="00E62835"/>
    <w:rsid w:val="00E76314"/>
    <w:rsid w:val="00E77645"/>
    <w:rsid w:val="00E82B91"/>
    <w:rsid w:val="00E83697"/>
    <w:rsid w:val="00E83D96"/>
    <w:rsid w:val="00E859B6"/>
    <w:rsid w:val="00E96A6B"/>
    <w:rsid w:val="00EA4A18"/>
    <w:rsid w:val="00EA66C9"/>
    <w:rsid w:val="00EB0A28"/>
    <w:rsid w:val="00EB2179"/>
    <w:rsid w:val="00EB2E37"/>
    <w:rsid w:val="00EB49FB"/>
    <w:rsid w:val="00EB5D32"/>
    <w:rsid w:val="00EC0E81"/>
    <w:rsid w:val="00EC484B"/>
    <w:rsid w:val="00EC4A25"/>
    <w:rsid w:val="00ED0D6E"/>
    <w:rsid w:val="00ED2B72"/>
    <w:rsid w:val="00ED5032"/>
    <w:rsid w:val="00ED70A8"/>
    <w:rsid w:val="00EE5367"/>
    <w:rsid w:val="00EE7BDA"/>
    <w:rsid w:val="00EF612C"/>
    <w:rsid w:val="00EF6EFF"/>
    <w:rsid w:val="00F025A2"/>
    <w:rsid w:val="00F02E35"/>
    <w:rsid w:val="00F036E9"/>
    <w:rsid w:val="00F05160"/>
    <w:rsid w:val="00F066B5"/>
    <w:rsid w:val="00F07388"/>
    <w:rsid w:val="00F11C94"/>
    <w:rsid w:val="00F11FD8"/>
    <w:rsid w:val="00F132CE"/>
    <w:rsid w:val="00F13328"/>
    <w:rsid w:val="00F13505"/>
    <w:rsid w:val="00F15ED5"/>
    <w:rsid w:val="00F2026E"/>
    <w:rsid w:val="00F21F92"/>
    <w:rsid w:val="00F2210A"/>
    <w:rsid w:val="00F24D16"/>
    <w:rsid w:val="00F2625D"/>
    <w:rsid w:val="00F26DC3"/>
    <w:rsid w:val="00F31180"/>
    <w:rsid w:val="00F31372"/>
    <w:rsid w:val="00F3617B"/>
    <w:rsid w:val="00F37743"/>
    <w:rsid w:val="00F37A16"/>
    <w:rsid w:val="00F45EF4"/>
    <w:rsid w:val="00F537C1"/>
    <w:rsid w:val="00F54A3D"/>
    <w:rsid w:val="00F54CB0"/>
    <w:rsid w:val="00F55789"/>
    <w:rsid w:val="00F55AAF"/>
    <w:rsid w:val="00F57279"/>
    <w:rsid w:val="00F579CD"/>
    <w:rsid w:val="00F6355F"/>
    <w:rsid w:val="00F653B8"/>
    <w:rsid w:val="00F6759B"/>
    <w:rsid w:val="00F67CFE"/>
    <w:rsid w:val="00F71B89"/>
    <w:rsid w:val="00F7353C"/>
    <w:rsid w:val="00F746D7"/>
    <w:rsid w:val="00F76F8F"/>
    <w:rsid w:val="00F77B68"/>
    <w:rsid w:val="00F80692"/>
    <w:rsid w:val="00F80855"/>
    <w:rsid w:val="00F80F0C"/>
    <w:rsid w:val="00F868C5"/>
    <w:rsid w:val="00F87257"/>
    <w:rsid w:val="00F91B37"/>
    <w:rsid w:val="00F941DF"/>
    <w:rsid w:val="00F95D52"/>
    <w:rsid w:val="00F96DB4"/>
    <w:rsid w:val="00FA0CA0"/>
    <w:rsid w:val="00FA1266"/>
    <w:rsid w:val="00FA7121"/>
    <w:rsid w:val="00FB22F7"/>
    <w:rsid w:val="00FB36FA"/>
    <w:rsid w:val="00FB3AA2"/>
    <w:rsid w:val="00FC1192"/>
    <w:rsid w:val="00FD57DC"/>
    <w:rsid w:val="00FE106D"/>
    <w:rsid w:val="00FE251B"/>
    <w:rsid w:val="00FE3423"/>
    <w:rsid w:val="00FE45C0"/>
    <w:rsid w:val="00FF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A2A2E934-DF3D-41C4-B040-6CC47FFB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9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C602AF"/>
    <w:pPr>
      <w:ind w:left="720"/>
      <w:contextualSpacing/>
    </w:pPr>
  </w:style>
  <w:style w:type="character" w:styleId="CommentReference">
    <w:name w:val="annotation reference"/>
    <w:basedOn w:val="DefaultParagraphFont"/>
    <w:rsid w:val="000C5C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5C53"/>
  </w:style>
  <w:style w:type="character" w:customStyle="1" w:styleId="CommentTextChar">
    <w:name w:val="Comment Text Char"/>
    <w:basedOn w:val="DefaultParagraphFont"/>
    <w:link w:val="CommentText"/>
    <w:rsid w:val="000C5C5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C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C53"/>
    <w:rPr>
      <w:b/>
      <w:bCs/>
      <w:lang w:eastAsia="en-US"/>
    </w:rPr>
  </w:style>
  <w:style w:type="paragraph" w:styleId="Revision">
    <w:name w:val="Revision"/>
    <w:hidden/>
    <w:uiPriority w:val="99"/>
    <w:semiHidden/>
    <w:rsid w:val="009A0E1D"/>
    <w:rPr>
      <w:lang w:eastAsia="en-US"/>
    </w:rPr>
  </w:style>
  <w:style w:type="character" w:customStyle="1" w:styleId="PLChar">
    <w:name w:val="PL Char"/>
    <w:link w:val="PL"/>
    <w:qFormat/>
    <w:rsid w:val="007E5A10"/>
    <w:rPr>
      <w:rFonts w:ascii="Courier New" w:hAnsi="Courier New"/>
      <w:noProof/>
      <w:sz w:val="16"/>
      <w:lang w:eastAsia="en-US"/>
    </w:rPr>
  </w:style>
  <w:style w:type="character" w:styleId="Mention">
    <w:name w:val="Mention"/>
    <w:basedOn w:val="DefaultParagraphFont"/>
    <w:uiPriority w:val="99"/>
    <w:unhideWhenUsed/>
    <w:rsid w:val="00CD25D7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3A32B4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D6E77"/>
    <w:rPr>
      <w:lang w:eastAsia="en-US"/>
    </w:rPr>
  </w:style>
  <w:style w:type="character" w:customStyle="1" w:styleId="TAHCar">
    <w:name w:val="TAH Car"/>
    <w:link w:val="TAH"/>
    <w:qFormat/>
    <w:rsid w:val="00B050C0"/>
    <w:rPr>
      <w:rFonts w:ascii="Arial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2A2DB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5AIRPNAIUNRU-859666464-14319</_dlc_DocId>
    <_dlc_DocIdUrl xmlns="71c5aaf6-e6ce-465b-b873-5148d2a4c105">
      <Url>https://nokia.sharepoint.com/sites/c5g/e2earch/_layouts/15/DocIdRedir.aspx?ID=5AIRPNAIUNRU-859666464-14319</Url>
      <Description>5AIRPNAIUNRU-859666464-14319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infopath/2007/PartnerControls"/>
    <ds:schemaRef ds:uri="83f22d2f-d16e-4be6-ad4f-29fa0b067c3c"/>
    <ds:schemaRef ds:uri="http://purl.org/dc/terms/"/>
    <ds:schemaRef ds:uri="a3840f4f-04be-43d1-b2ef-6ff1382503c7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6BAF0-EC51-4603-AF33-7EE7763C32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B3571E-0C31-4131-A2D8-D6963D47A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</Pages>
  <Words>559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3466</CharactersWithSpaces>
  <SharedDoc>false</SharedDoc>
  <HyperlinkBase/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../../../2022.08 RAN2 119 - Elbonia/Drafts NR/Rel-18 IDC/In-Device Co-existence (IDC) enhancements for NR and MR-DC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242</cp:revision>
  <dcterms:created xsi:type="dcterms:W3CDTF">2022-06-07T13:00:00Z</dcterms:created>
  <dcterms:modified xsi:type="dcterms:W3CDTF">2023-05-12T08:33:00Z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ac29efdd-7cc9-434c-b99e-f6c78741d0e0</vt:lpwstr>
  </property>
</Properties>
</file>